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mc:Ignorable="w14 w15">
  <w:body>
    <w:p>
      <w:pPr>
        <w:pStyle w:val="887"/>
        <w:jc w:val="center"/>
        <w:spacing w:after="60" w:line="240" w:lineRule="auto"/>
      </w:pPr>
      <w:r>
        <w:rPr>
          <w:b/>
          <w:bCs/>
          <w:sz w:val="28"/>
          <w:szCs w:val="28"/>
        </w:rPr>
        <w:t xml:space="preserve">Helical attractors on contact 3-manifolds: basin geometry, Whitney singularities, and rotating electromagnetic applications</w:t>
      </w:r>
    </w:p>
    <w:p>
      <w:pPr>
        <w:pStyle w:val="887"/>
        <w:jc w:val="center"/>
        <w:spacing w:after="20" w:line="240" w:lineRule="auto"/>
      </w:pPr>
      <w:r>
        <w:rPr>
          <w:b/>
          <w:bCs/>
          <w:u w:val="single"/>
        </w:rPr>
        <w:t xml:space="preserve">Pablo Nogueira Grossi</w:t>
      </w:r>
    </w:p>
    <w:p>
      <w:pPr>
        <w:pStyle w:val="887"/>
        <w:jc w:val="center"/>
        <w:spacing w:after="0" w:line="240" w:lineRule="auto"/>
      </w:pPr>
      <w:r>
        <w:rPr>
          <w:i/>
          <w:iCs/>
        </w:rPr>
        <w:t xml:space="preserve">G6 LLC, Newark, New Jersey, USA · grossiatwork@gmail.com · ORCID: 0009-0000-6496-2186</w:t>
      </w:r>
    </w:p>
    <w:p>
      <w:pPr>
        <w:pStyle w:val="887"/>
        <w:jc w:val="center"/>
        <w:spacing w:after="80" w:line="240" w:lineRule="auto"/>
      </w:pPr>
      <w:r>
        <w:rPr>
          <w:i/>
          <w:iCs/>
        </w:rPr>
        <w:t xml:space="preserve">Principia Orthogona Series · doi:10.5281/zenodo.19117399</w:t>
      </w:r>
    </w:p>
    <w:p>
      <w:pPr>
        <w:pStyle w:val="887"/>
        <w:jc w:val="both"/>
        <w:spacing w:after="80" w:line="240" w:lineRule="auto"/>
      </w:pPr>
      <w:r>
        <w:rPr/>
        <w:t xml:space="preserve">We study a three-dimensional ODE on the contact 3-manifold (ℝ</w:t>
      </w:r>
      <w:r>
        <w:rPr>
          <w:vertAlign w:val="superscript"/>
        </w:rPr>
        <w:t xml:space="preserve">3</w:t>
      </w:r>
      <w:r>
        <w:rPr/>
        <w:t xml:space="preserve">, α = dz − r</w:t>
      </w:r>
      <w:r>
        <w:rPr>
          <w:vertAlign w:val="superscript"/>
        </w:rPr>
        <w:t xml:space="preserve">2</w:t>
      </w:r>
      <w:r>
        <w:rPr/>
        <w:t xml:space="preserve">dθ) in cylindrical coordinates, where r</w:t>
      </w:r>
      <w:r>
        <w:rPr>
          <w:vertAlign w:val="superscript"/>
        </w:rPr>
        <w:t xml:space="preserve">2</w:t>
      </w:r>
      <w:r>
        <w:rPr/>
        <w:t xml:space="preserve">dθ encodes angular momentum as a one-form. The system takes the form ṙ = r(1−r</w:t>
      </w:r>
      <w:r>
        <w:rPr>
          <w:vertAlign w:val="superscript"/>
        </w:rPr>
        <w:t xml:space="preserve">2</w:t>
      </w:r>
      <w:r>
        <w:rPr/>
        <w:t xml:space="preserve">) + 2(r−1)e</w:t>
      </w:r>
      <w:r>
        <w:rPr>
          <w:vertAlign w:val="superscript"/>
        </w:rPr>
        <w:t xml:space="preserve">−z</w:t>
      </w:r>
      <w:r>
        <w:rPr/>
        <w:t xml:space="preserve">, θ̇ = 1, ż = r</w:t>
      </w:r>
      <w:r>
        <w:rPr>
          <w:vertAlign w:val="superscript"/>
        </w:rPr>
        <w:t xml:space="preserve">2</w:t>
      </w:r>
      <w:r>
        <w:rPr/>
        <w:t xml:space="preserve"> − 2(r−1)</w:t>
      </w:r>
      <w:r>
        <w:rPr>
          <w:vertAlign w:val="superscript"/>
        </w:rPr>
        <w:t xml:space="preserve">2</w:t>
      </w:r>
      <w:r>
        <w:rPr/>
        <w:t xml:space="preserve">e</w:t>
      </w:r>
      <w:r>
        <w:rPr>
          <w:vertAlign w:val="superscript"/>
        </w:rPr>
        <w:t xml:space="preserve">−z</w:t>
      </w:r>
      <w:r>
        <w:rPr/>
        <w:t xml:space="preserve">, ε = 2. The contact condition α = 0 reads dz = r</w:t>
      </w:r>
      <w:r>
        <w:rPr>
          <w:vertAlign w:val="superscript"/>
        </w:rPr>
        <w:t xml:space="preserve">2</w:t>
      </w:r>
      <w:r>
        <w:rPr/>
        <w:t xml:space="preserve">dθ, identifying vertical lift with angular momentum — a geometric identity. We prove that the unit helix Γ = {r = 1, θ̇ = 1, ż = 1} is a globally attracting limit cycle for r(0) &gt; r* and z(0) ≥ log 2, convergence rate μ = −2.</w:t>
      </w:r>
    </w:p>
    <w:p>
      <w:pPr>
        <w:pStyle w:val="887"/>
        <w:jc w:val="both"/>
        <w:spacing w:after="80" w:line="240" w:lineRule="auto"/>
      </w:pPr>
      <w:r>
        <w:rPr>
          <w:b/>
          <w:bCs/>
        </w:rPr>
        <w:t xml:space="preserve">Principal certified result. </w:t>
      </w:r>
      <w:r>
        <w:rPr/>
        <w:t xml:space="preserve">The inner basin boundary r* is located via adaptive bisection with DOP853 (rtol = 10</w:t>
      </w:r>
      <w:r>
        <w:rPr>
          <w:vertAlign w:val="superscript"/>
        </w:rPr>
        <w:t xml:space="preserve">−12</w:t>
      </w:r>
      <w:r>
        <w:rPr/>
        <w:t xml:space="preserve">, atol = 10</w:t>
      </w:r>
      <w:r>
        <w:rPr>
          <w:vertAlign w:val="superscript"/>
        </w:rPr>
        <w:t xml:space="preserve">−14</w:t>
      </w:r>
      <w:r>
        <w:rPr/>
        <w:t xml:space="preserve">): r* = 0.77594059 (certified to 7 significant figures, reproducible on any IEEE-754 platform, see [3]). This lies strictly above the symmetric Gronwall estimate 2/3 ≈ 0.667. Stability hierarchy: ε</w:t>
      </w:r>
      <w:r>
        <w:rPr>
          <w:vertAlign w:val="subscript"/>
        </w:rPr>
        <w:t xml:space="preserve">0</w:t>
      </w:r>
      <w:r>
        <w:rPr/>
        <w:t xml:space="preserve"> = 1/3 &lt; 2/3 &lt; r* = 0.77594 &lt; κ* = √(7/9) ≈ 0.882 &lt; 1.</w:t>
      </w:r>
    </w:p>
    <w:p>
      <w:pPr>
        <w:pStyle w:val="887"/>
        <w:jc w:val="both"/>
        <w:spacing w:after="80" w:line="240" w:lineRule="auto"/>
      </w:pPr>
      <w:r>
        <w:rPr>
          <w:b/>
          <w:bCs/>
        </w:rPr>
        <w:t xml:space="preserve">Whitney A</w:t>
      </w:r>
      <w:r>
        <w:rPr>
          <w:b/>
          <w:bCs/>
          <w:vertAlign w:val="subscript"/>
        </w:rPr>
        <w:t xml:space="preserve">1</w:t>
      </w:r>
      <w:r>
        <w:rPr>
          <w:b/>
          <w:bCs/>
        </w:rPr>
        <w:t xml:space="preserve"> singularity and Theorem B.3. </w:t>
      </w:r>
      <w:r>
        <w:rPr/>
        <w:t xml:space="preserve">We identify r* as a Whitney A</w:t>
      </w:r>
      <w:r>
        <w:rPr>
          <w:vertAlign w:val="subscript"/>
        </w:rPr>
        <w:t xml:space="preserve">1</w:t>
      </w:r>
      <w:r>
        <w:rPr/>
        <w:t xml:space="preserve"> (standard fold) singularity of the asymptotic radial map Φ: ℝ</w:t>
      </w:r>
      <w:r>
        <w:rPr>
          <w:vertAlign w:val="subscript"/>
        </w:rPr>
        <w:t xml:space="preserve">+</w:t>
      </w:r>
      <w:r>
        <w:rPr/>
        <w:t xml:space="preserve"> → {1}. The Jacobian at the saddle (r*, z*) satisfies tr(J)|</w:t>
      </w:r>
      <w:r>
        <w:rPr>
          <w:vertAlign w:val="subscript"/>
        </w:rPr>
        <w:t xml:space="preserve">saddle</w:t>
      </w:r>
      <w:r>
        <w:rPr/>
        <w:t xml:space="preserve"> = 2cos(2π/7) and det(J) = −ε</w:t>
      </w:r>
      <w:r>
        <w:rPr>
          <w:vertAlign w:val="subscript"/>
        </w:rPr>
        <w:t xml:space="preserve">0</w:t>
      </w:r>
      <w:r>
        <w:rPr/>
        <w:t xml:space="preserve"> = −1/3, both proved in closed form in [2] (Theorem B.3). The value 2cos(2π/7) = 1.2469… is the largest real root of x</w:t>
      </w:r>
      <w:r>
        <w:rPr>
          <w:vertAlign w:val="superscript"/>
        </w:rPr>
        <w:t xml:space="preserve">3</w:t>
      </w:r>
      <w:r>
        <w:rPr/>
        <w:t xml:space="preserve"> + x</w:t>
      </w:r>
      <w:r>
        <w:rPr>
          <w:vertAlign w:val="superscript"/>
        </w:rPr>
        <w:t xml:space="preserve">2</w:t>
      </w:r>
      <w:r>
        <w:rPr/>
        <w:t xml:space="preserve"> − 2x − 1 = 0, the minimal polynomial of Re(e</w:t>
      </w:r>
      <w:r>
        <w:rPr>
          <w:vertAlign w:val="superscript"/>
        </w:rPr>
        <w:t xml:space="preserve">2πi/7</w:t>
      </w:r>
      <w:r>
        <w:rPr/>
        <w:t xml:space="preserve">). In a rotating electromagnetic realisation the fold boundary corresponds to a corona discharge threshold — a structural consequence of contact geometry, not a fitted parameter.</w:t>
      </w:r>
    </w:p>
    <w:p>
      <w:pPr>
        <w:pStyle w:val="887"/>
        <w:jc w:val="both"/>
        <w:spacing w:after="80" w:line="240" w:lineRule="auto"/>
      </w:pPr>
      <w:r>
        <w:rPr>
          <w:b/>
          <w:bCs/>
        </w:rPr>
        <w:t xml:space="preserve">Framework and open obligation. </w:t>
      </w:r>
      <w:r>
        <w:rPr/>
        <w:t xml:space="preserve">The system sits at the Δ (tetranacci) rung of the n-bonacci recurrence ladder (dominant root ≈ 1.927 → τ = 2) within the dm</w:t>
      </w:r>
      <w:r>
        <w:rPr>
          <w:vertAlign w:val="superscript"/>
        </w:rPr>
        <w:t xml:space="preserve">3</w:t>
      </w:r>
      <w:r>
        <w:rPr/>
        <w:t xml:space="preserve"> operator chain G = U∘F∘K∘C, ε = τ = 2. Global attractivity (Theorems B.1–B.5), the Whitney identification, and tr(J) = 2cos(2π/7) are all established. The analytic characterisation of r* in closed form remains open. Lean 4 mechanisation is in progress (AXLE, github.com/TOTOGT/AXLE); certify_rstar.py [3] reproduces r* = 0.77594059 in under two minutes on standard hardware.</w:t>
      </w:r>
    </w:p>
    <w:p>
      <w:pPr>
        <w:pStyle w:val="887"/>
        <w:jc w:val="both"/>
        <w:spacing w:after="20" w:line="240" w:lineRule="auto"/>
      </w:pPr>
      <w:r>
        <w:rPr/>
        <w:t xml:space="preserve">[1] P.N. Grossi, </w:t>
      </w:r>
      <w:r>
        <w:rPr>
          <w:i/>
          <w:iCs/>
        </w:rPr>
        <w:t xml:space="preserve">Principia Orthogona</w:t>
      </w:r>
      <w:r>
        <w:rPr/>
        <w:t xml:space="preserve">, doi:10.5281/zenodo.19117399 (2024–2026).</w:t>
      </w:r>
    </w:p>
    <w:p>
      <w:pPr>
        <w:pStyle w:val="887"/>
        <w:jc w:val="both"/>
        <w:spacing w:after="20" w:line="240" w:lineRule="auto"/>
      </w:pPr>
      <w:r>
        <w:rPr/>
        <w:t xml:space="preserve">[2] P.N. Grossi, </w:t>
      </w:r>
      <w:r>
        <w:rPr>
          <w:i/>
          <w:iCs/>
        </w:rPr>
        <w:t xml:space="preserve">Contact-Geometric Theory of Generative Transitions</w:t>
      </w:r>
      <w:r>
        <w:rPr/>
        <w:t xml:space="preserve">, doi:10.5281/zenodo.20682934 (2026).</w:t>
      </w:r>
    </w:p>
    <w:p>
      <w:pPr>
        <w:pStyle w:val="887"/>
        <w:jc w:val="both"/>
        <w:spacing w:after="0" w:line="240" w:lineRule="auto"/>
      </w:pPr>
      <w:r>
        <w:rPr/>
        <w:t xml:space="preserve">[3] P.N. Grossi, </w:t>
      </w:r>
      <w:r>
        <w:rPr>
          <w:i/>
          <w:iCs/>
        </w:rPr>
        <w:t xml:space="preserve">certify_rstar.py</w:t>
      </w:r>
      <w:r>
        <w:rPr/>
        <w:t xml:space="preserve">, github.com/TOTOGT/3M (2026).</w:t>
      </w:r>
    </w:p>
    <w:sectPr>
      <w:type w:val="nextPage"/>
      <w:pgSz w:h="16839" w:w="11907" w:orient="portrait"/>
      <w:pgMar w:top="1080" w:right="1080" w:bottom="1080" w:left="1080" w:header="720" w:footer="720" w:gutter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roid Sans Fallback">
    <w:panose1 w:val="020B0502000000000001"/>
  </w:font>
  <w:font w:name="Lohit Hindi">
    <w:panose1 w:val="050401020108070707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"/>
    <w:basedOn w:val="70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Table Grid Light"/>
    <w:basedOn w:val="70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1"/>
    <w:basedOn w:val="70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2"/>
    <w:basedOn w:val="70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Plain Table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1 Light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2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3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1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2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3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4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5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4 - Accent 6"/>
    <w:basedOn w:val="70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5 Dark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6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d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Grid Table 7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1 Light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2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3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4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5 Dark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b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a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7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4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6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9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b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a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7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4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st Table 7 Colorful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9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1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2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3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4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5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ned - Accent 6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1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2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3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4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5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&amp; Lined - Accent 6"/>
    <w:basedOn w:val="70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1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2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3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4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5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Bordered - Accent 6"/>
    <w:basedOn w:val="70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8">
    <w:name w:val="Heading 1"/>
    <w:basedOn w:val="887"/>
    <w:next w:val="887"/>
    <w:link w:val="838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9">
    <w:name w:val="Heading 2"/>
    <w:basedOn w:val="887"/>
    <w:next w:val="887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30">
    <w:name w:val="Heading 3"/>
    <w:basedOn w:val="887"/>
    <w:next w:val="887"/>
    <w:link w:val="840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1">
    <w:name w:val="Heading 4"/>
    <w:basedOn w:val="887"/>
    <w:next w:val="887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2">
    <w:name w:val="Heading 5"/>
    <w:basedOn w:val="887"/>
    <w:next w:val="887"/>
    <w:link w:val="842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3">
    <w:name w:val="Heading 6"/>
    <w:basedOn w:val="887"/>
    <w:next w:val="887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4">
    <w:name w:val="Heading 7"/>
    <w:basedOn w:val="887"/>
    <w:next w:val="887"/>
    <w:link w:val="844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5">
    <w:name w:val="Heading 8"/>
    <w:basedOn w:val="887"/>
    <w:next w:val="887"/>
    <w:link w:val="845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6">
    <w:name w:val="Heading 9"/>
    <w:basedOn w:val="887"/>
    <w:next w:val="887"/>
    <w:link w:val="846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numbering" w:styleId="837" w:default="1">
    <w:name w:val="No List"/>
    <w:uiPriority w:val="99"/>
    <w:semiHidden/>
    <w:unhideWhenUsed/>
    <w:pPr>
      <w:pBdr/>
      <w:spacing/>
      <w:ind/>
    </w:pPr>
  </w:style>
  <w:style w:type="character" w:styleId="838">
    <w:name w:val="Heading 1 Char"/>
    <w:basedOn w:val="888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9">
    <w:name w:val="Heading 2 Char"/>
    <w:basedOn w:val="888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40">
    <w:name w:val="Heading 3 Char"/>
    <w:basedOn w:val="888"/>
    <w:link w:val="83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1">
    <w:name w:val="Heading 4 Char"/>
    <w:basedOn w:val="888"/>
    <w:link w:val="83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2">
    <w:name w:val="Heading 5 Char"/>
    <w:basedOn w:val="888"/>
    <w:link w:val="83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3">
    <w:name w:val="Heading 6 Char"/>
    <w:basedOn w:val="888"/>
    <w:link w:val="83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4">
    <w:name w:val="Heading 7 Char"/>
    <w:basedOn w:val="888"/>
    <w:link w:val="83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5">
    <w:name w:val="Heading 8 Char"/>
    <w:basedOn w:val="888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6">
    <w:name w:val="Heading 9 Char"/>
    <w:basedOn w:val="888"/>
    <w:link w:val="83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7">
    <w:name w:val="Title"/>
    <w:basedOn w:val="887"/>
    <w:next w:val="887"/>
    <w:link w:val="848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8">
    <w:name w:val="Title Char"/>
    <w:basedOn w:val="888"/>
    <w:link w:val="847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9">
    <w:name w:val="Subtitle"/>
    <w:basedOn w:val="887"/>
    <w:next w:val="887"/>
    <w:link w:val="850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50">
    <w:name w:val="Subtitle Char"/>
    <w:basedOn w:val="888"/>
    <w:link w:val="84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1">
    <w:name w:val="Quote"/>
    <w:basedOn w:val="887"/>
    <w:next w:val="887"/>
    <w:link w:val="852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2">
    <w:name w:val="Quote Char"/>
    <w:basedOn w:val="888"/>
    <w:link w:val="851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3">
    <w:name w:val="List Paragraph"/>
    <w:basedOn w:val="887"/>
    <w:uiPriority w:val="34"/>
    <w:qFormat/>
    <w:pPr>
      <w:pBdr/>
      <w:spacing/>
      <w:ind w:left="720"/>
      <w:contextualSpacing w:val="true"/>
    </w:pPr>
  </w:style>
  <w:style w:type="character" w:styleId="854">
    <w:name w:val="Intense Emphasis"/>
    <w:basedOn w:val="88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5">
    <w:name w:val="Intense Quote"/>
    <w:basedOn w:val="887"/>
    <w:next w:val="887"/>
    <w:link w:val="856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6">
    <w:name w:val="Intense Quote Char"/>
    <w:basedOn w:val="888"/>
    <w:link w:val="855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7">
    <w:name w:val="Intense Reference"/>
    <w:basedOn w:val="88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8">
    <w:name w:val="No Spacing"/>
    <w:basedOn w:val="887"/>
    <w:uiPriority w:val="1"/>
    <w:qFormat/>
    <w:pPr>
      <w:pBdr/>
      <w:spacing w:after="0" w:line="240" w:lineRule="auto"/>
      <w:ind/>
    </w:pPr>
  </w:style>
  <w:style w:type="character" w:styleId="859">
    <w:name w:val="Subtle Emphasis"/>
    <w:basedOn w:val="88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60">
    <w:name w:val="Emphasis"/>
    <w:basedOn w:val="888"/>
    <w:uiPriority w:val="20"/>
    <w:qFormat/>
    <w:pPr>
      <w:pBdr/>
      <w:spacing/>
      <w:ind/>
    </w:pPr>
    <w:rPr>
      <w:i/>
      <w:iCs/>
    </w:rPr>
  </w:style>
  <w:style w:type="character" w:styleId="861">
    <w:name w:val="Strong"/>
    <w:basedOn w:val="888"/>
    <w:uiPriority w:val="22"/>
    <w:qFormat/>
    <w:pPr>
      <w:pBdr/>
      <w:spacing/>
      <w:ind/>
    </w:pPr>
    <w:rPr>
      <w:b/>
      <w:bCs/>
    </w:rPr>
  </w:style>
  <w:style w:type="character" w:styleId="862">
    <w:name w:val="Subtle Reference"/>
    <w:basedOn w:val="88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3">
    <w:name w:val="Book Title"/>
    <w:basedOn w:val="888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4">
    <w:name w:val="Header"/>
    <w:basedOn w:val="887"/>
    <w:link w:val="86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5">
    <w:name w:val="Header Char"/>
    <w:basedOn w:val="888"/>
    <w:link w:val="864"/>
    <w:uiPriority w:val="99"/>
    <w:pPr>
      <w:pBdr/>
      <w:spacing/>
      <w:ind/>
    </w:pPr>
  </w:style>
  <w:style w:type="paragraph" w:styleId="866">
    <w:name w:val="Footer"/>
    <w:basedOn w:val="887"/>
    <w:link w:val="86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7">
    <w:name w:val="Footer Char"/>
    <w:basedOn w:val="888"/>
    <w:link w:val="866"/>
    <w:uiPriority w:val="99"/>
    <w:pPr>
      <w:pBdr/>
      <w:spacing/>
      <w:ind/>
    </w:pPr>
  </w:style>
  <w:style w:type="paragraph" w:styleId="868">
    <w:name w:val="footnote text"/>
    <w:basedOn w:val="887"/>
    <w:link w:val="86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9">
    <w:name w:val="Footnote Text Char"/>
    <w:basedOn w:val="888"/>
    <w:link w:val="868"/>
    <w:uiPriority w:val="99"/>
    <w:semiHidden/>
    <w:pPr>
      <w:pBdr/>
      <w:spacing/>
      <w:ind/>
    </w:pPr>
    <w:rPr>
      <w:sz w:val="20"/>
      <w:szCs w:val="20"/>
    </w:rPr>
  </w:style>
  <w:style w:type="character" w:styleId="870">
    <w:name w:val="foot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paragraph" w:styleId="871">
    <w:name w:val="endnote text"/>
    <w:basedOn w:val="887"/>
    <w:link w:val="87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2">
    <w:name w:val="Endnote Text Char"/>
    <w:basedOn w:val="888"/>
    <w:link w:val="871"/>
    <w:uiPriority w:val="99"/>
    <w:semiHidden/>
    <w:pPr>
      <w:pBdr/>
      <w:spacing/>
      <w:ind/>
    </w:pPr>
    <w:rPr>
      <w:sz w:val="20"/>
      <w:szCs w:val="20"/>
    </w:rPr>
  </w:style>
  <w:style w:type="character" w:styleId="873">
    <w:name w:val="end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character" w:styleId="874">
    <w:name w:val="FollowedHyperlink"/>
    <w:basedOn w:val="88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5">
    <w:name w:val="toc 1"/>
    <w:basedOn w:val="887"/>
    <w:next w:val="887"/>
    <w:uiPriority w:val="39"/>
    <w:unhideWhenUsed/>
    <w:pPr>
      <w:pBdr/>
      <w:spacing w:after="100"/>
      <w:ind/>
    </w:pPr>
  </w:style>
  <w:style w:type="paragraph" w:styleId="876">
    <w:name w:val="toc 2"/>
    <w:basedOn w:val="887"/>
    <w:next w:val="887"/>
    <w:uiPriority w:val="39"/>
    <w:unhideWhenUsed/>
    <w:pPr>
      <w:pBdr/>
      <w:spacing w:after="100"/>
      <w:ind w:left="220"/>
    </w:pPr>
  </w:style>
  <w:style w:type="paragraph" w:styleId="877">
    <w:name w:val="toc 3"/>
    <w:basedOn w:val="887"/>
    <w:next w:val="887"/>
    <w:uiPriority w:val="39"/>
    <w:unhideWhenUsed/>
    <w:pPr>
      <w:pBdr/>
      <w:spacing w:after="100"/>
      <w:ind w:left="440"/>
    </w:pPr>
  </w:style>
  <w:style w:type="paragraph" w:styleId="878">
    <w:name w:val="toc 4"/>
    <w:basedOn w:val="887"/>
    <w:next w:val="887"/>
    <w:uiPriority w:val="39"/>
    <w:unhideWhenUsed/>
    <w:pPr>
      <w:pBdr/>
      <w:spacing w:after="100"/>
      <w:ind w:left="660"/>
    </w:pPr>
  </w:style>
  <w:style w:type="paragraph" w:styleId="879">
    <w:name w:val="toc 5"/>
    <w:basedOn w:val="887"/>
    <w:next w:val="887"/>
    <w:uiPriority w:val="39"/>
    <w:unhideWhenUsed/>
    <w:pPr>
      <w:pBdr/>
      <w:spacing w:after="100"/>
      <w:ind w:left="880"/>
    </w:pPr>
  </w:style>
  <w:style w:type="paragraph" w:styleId="880">
    <w:name w:val="toc 6"/>
    <w:basedOn w:val="887"/>
    <w:next w:val="887"/>
    <w:uiPriority w:val="39"/>
    <w:unhideWhenUsed/>
    <w:pPr>
      <w:pBdr/>
      <w:spacing w:after="100"/>
      <w:ind w:left="1100"/>
    </w:pPr>
  </w:style>
  <w:style w:type="paragraph" w:styleId="881">
    <w:name w:val="toc 7"/>
    <w:basedOn w:val="887"/>
    <w:next w:val="887"/>
    <w:uiPriority w:val="39"/>
    <w:unhideWhenUsed/>
    <w:pPr>
      <w:pBdr/>
      <w:spacing w:after="100"/>
      <w:ind w:left="1320"/>
    </w:pPr>
  </w:style>
  <w:style w:type="paragraph" w:styleId="882">
    <w:name w:val="toc 8"/>
    <w:basedOn w:val="887"/>
    <w:next w:val="887"/>
    <w:uiPriority w:val="39"/>
    <w:unhideWhenUsed/>
    <w:pPr>
      <w:pBdr/>
      <w:spacing w:after="100"/>
      <w:ind w:left="1540"/>
    </w:pPr>
  </w:style>
  <w:style w:type="paragraph" w:styleId="883">
    <w:name w:val="toc 9"/>
    <w:basedOn w:val="887"/>
    <w:next w:val="887"/>
    <w:uiPriority w:val="39"/>
    <w:unhideWhenUsed/>
    <w:pPr>
      <w:pBdr/>
      <w:spacing w:after="100"/>
      <w:ind w:left="1760"/>
    </w:pPr>
  </w:style>
  <w:style w:type="character" w:styleId="884">
    <w:name w:val="Placeholder Text"/>
    <w:basedOn w:val="888"/>
    <w:uiPriority w:val="99"/>
    <w:semiHidden/>
    <w:pPr>
      <w:pBdr/>
      <w:spacing/>
      <w:ind/>
    </w:pPr>
    <w:rPr>
      <w:color w:val="666666"/>
    </w:rPr>
  </w:style>
  <w:style w:type="paragraph" w:styleId="885">
    <w:name w:val="TOC Heading"/>
    <w:uiPriority w:val="39"/>
    <w:unhideWhenUsed/>
    <w:pPr>
      <w:pBdr/>
      <w:spacing/>
      <w:ind/>
    </w:pPr>
  </w:style>
  <w:style w:type="paragraph" w:styleId="886">
    <w:name w:val="table of figures"/>
    <w:basedOn w:val="887"/>
    <w:next w:val="887"/>
    <w:uiPriority w:val="99"/>
    <w:unhideWhenUsed/>
    <w:pPr>
      <w:pBdr/>
      <w:spacing w:after="0" w:afterAutospacing="0"/>
      <w:ind/>
    </w:pPr>
  </w:style>
  <w:style w:type="paragraph" w:styleId="887" w:default="1">
    <w:name w:val="Normal"/>
    <w:next w:val="887"/>
    <w:link w:val="887"/>
    <w:qFormat/>
    <w:pPr>
      <w:pBdr/>
      <w:spacing/>
      <w:ind/>
    </w:pPr>
    <w:rPr>
      <w:sz w:val="24"/>
      <w:szCs w:val="24"/>
      <w:lang w:val="en-US" w:eastAsia="zh-CN" w:bidi="ar-SA"/>
    </w:rPr>
  </w:style>
  <w:style w:type="character" w:styleId="888" w:default="1">
    <w:name w:val="Default Paragraph Font"/>
    <w:next w:val="888"/>
    <w:link w:val="887"/>
    <w:pPr>
      <w:pBdr/>
      <w:spacing/>
      <w:ind/>
    </w:pPr>
  </w:style>
  <w:style w:type="table" w:styleId="889">
    <w:name w:val="Table Normal"/>
    <w:next w:val="889"/>
    <w:link w:val="887"/>
    <w:uiPriority w:val="99"/>
    <w:unhideWhenUsed/>
    <w:pPr>
      <w:pBdr/>
      <w:spacing/>
      <w:ind/>
    </w:pPr>
    <w:tblPr>
      <w:tblW w:w="0" w:type="auto"/>
      <w:tblCellMar>
        <w:left w:w="108" w:type="dxa"/>
        <w:top w:w="0" w:type="dxa"/>
        <w:right w:w="108" w:type="dxa"/>
        <w:bottom w:w="0" w:type="dxa"/>
      </w:tblCellMar>
      <w:tblBorders/>
      <w:tblLayout w:type="fixed"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90">
    <w:name w:val="Body Text"/>
    <w:basedOn w:val="887"/>
    <w:next w:val="890"/>
    <w:link w:val="887"/>
    <w:pPr>
      <w:pBdr/>
      <w:spacing w:after="120" w:before="0"/>
      <w:ind/>
    </w:pPr>
  </w:style>
  <w:style w:type="paragraph" w:styleId="891">
    <w:name w:val="Caption"/>
    <w:basedOn w:val="887"/>
    <w:next w:val="891"/>
    <w:link w:val="887"/>
    <w:qFormat/>
    <w:pPr>
      <w:suppressLineNumbers w:val="true"/>
      <w:pBdr/>
      <w:spacing w:after="120" w:before="120"/>
      <w:ind/>
    </w:pPr>
    <w:rPr>
      <w:rFonts w:cs="Lohit Hindi"/>
      <w:i/>
      <w:iCs/>
      <w:sz w:val="24"/>
      <w:szCs w:val="24"/>
    </w:rPr>
  </w:style>
  <w:style w:type="character" w:styleId="892">
    <w:name w:val="Hyperlink"/>
    <w:basedOn w:val="893"/>
    <w:next w:val="892"/>
    <w:link w:val="887"/>
    <w:pPr>
      <w:pBdr/>
      <w:spacing/>
      <w:ind/>
    </w:pPr>
    <w:rPr>
      <w:color w:val="0000ff"/>
      <w:u w:val="single"/>
    </w:rPr>
  </w:style>
  <w:style w:type="character" w:styleId="893">
    <w:name w:val="Fonte parág. padrão1"/>
    <w:next w:val="893"/>
    <w:link w:val="887"/>
    <w:pPr>
      <w:pBdr/>
      <w:spacing/>
      <w:ind/>
    </w:pPr>
  </w:style>
  <w:style w:type="paragraph" w:styleId="894">
    <w:name w:val="List"/>
    <w:basedOn w:val="890"/>
    <w:next w:val="894"/>
    <w:link w:val="887"/>
    <w:pPr>
      <w:pBdr/>
      <w:spacing/>
      <w:ind/>
    </w:pPr>
    <w:rPr>
      <w:rFonts w:cs="Lohit Hindi"/>
    </w:rPr>
  </w:style>
  <w:style w:type="paragraph" w:styleId="895">
    <w:name w:val="Heading"/>
    <w:basedOn w:val="887"/>
    <w:next w:val="890"/>
    <w:link w:val="887"/>
    <w:pPr>
      <w:keepNext w:val="true"/>
      <w:pBdr/>
      <w:spacing w:after="120" w:before="240"/>
      <w:ind/>
    </w:pPr>
    <w:rPr>
      <w:rFonts w:ascii="Arial" w:hAnsi="Arial" w:eastAsia="Droid Sans Fallback" w:cs="Lohit Hindi"/>
      <w:sz w:val="28"/>
      <w:szCs w:val="28"/>
    </w:rPr>
  </w:style>
  <w:style w:type="paragraph" w:styleId="896">
    <w:name w:val="Index"/>
    <w:basedOn w:val="887"/>
    <w:next w:val="896"/>
    <w:link w:val="887"/>
    <w:pPr>
      <w:suppressLineNumbers w:val="true"/>
      <w:pBdr/>
      <w:spacing/>
      <w:ind/>
    </w:pPr>
    <w:rPr>
      <w:rFonts w:cs="Lohit Hindi"/>
    </w:rPr>
  </w:style>
  <w:style w:type="character" w:styleId="897">
    <w:name w:val="Internet Link"/>
    <w:basedOn w:val="888"/>
    <w:next w:val="897"/>
    <w:link w:val="887"/>
    <w:uiPriority w:val="99"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ONLYOFFICE/9.1.0.173</Application>
  <DocSecurity>0</DocSecurity>
  <ScaleCrop>0</ScaleCrop>
  <HeadingPairs>
    <vt:vector size="0" baseType="variant"/>
  </HeadingPairs>
  <TitlesOfParts>
    <vt:vector size="0" baseType="lpstr"/>
  </TitlesOfParts>
  <Company>Grizl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bolded, </dc:title>
  <dc:creator>felip</dc:creator>
  <cp:revision>8</cp:revision>
  <dcterms:created xsi:type="dcterms:W3CDTF">2012-04-14T12:33:00Z</dcterms:created>
  <dcterms:modified xsi:type="dcterms:W3CDTF">2026-02-19T12:01:59Z</dcterms:modified>
</cp:coreProperties>
</file>